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0F13A5" w:rsidRPr="00CD5E21" w:rsidTr="008E2ED4">
        <w:tc>
          <w:tcPr>
            <w:tcW w:w="4924" w:type="dxa"/>
          </w:tcPr>
          <w:p w:rsidR="000F13A5" w:rsidRPr="00CD5E21" w:rsidRDefault="000F13A5" w:rsidP="008E2ED4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4924" w:type="dxa"/>
          </w:tcPr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ПРИЛОЖЕНИЕ № 9</w:t>
            </w:r>
          </w:p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УТВЕРЖДЕНА</w:t>
            </w:r>
          </w:p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постановлением администрации </w:t>
            </w:r>
          </w:p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муниципального образования </w:t>
            </w:r>
          </w:p>
          <w:p w:rsidR="000F13A5" w:rsidRPr="00D6649E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Щербиновский район</w:t>
            </w:r>
          </w:p>
          <w:p w:rsidR="000F13A5" w:rsidRPr="00CD5E21" w:rsidRDefault="000F13A5" w:rsidP="008E2E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 ___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______</w:t>
            </w: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______ № _____</w:t>
            </w:r>
          </w:p>
        </w:tc>
      </w:tr>
    </w:tbl>
    <w:p w:rsidR="000F13A5" w:rsidRPr="00CD5E21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0F13A5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1678E">
        <w:rPr>
          <w:rFonts w:ascii="Times New Roman" w:hAnsi="Times New Roman" w:cs="Times New Roman"/>
          <w:b/>
          <w:spacing w:val="-6"/>
          <w:sz w:val="28"/>
          <w:szCs w:val="28"/>
        </w:rPr>
        <w:t xml:space="preserve">Требования к внешнему виду и 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78E">
        <w:rPr>
          <w:rFonts w:ascii="Times New Roman" w:hAnsi="Times New Roman" w:cs="Times New Roman"/>
          <w:b/>
          <w:spacing w:val="-6"/>
          <w:sz w:val="28"/>
          <w:szCs w:val="28"/>
        </w:rPr>
        <w:t xml:space="preserve">архитектурному </w:t>
      </w:r>
      <w:r w:rsidRPr="0001678E">
        <w:rPr>
          <w:rFonts w:ascii="Times New Roman" w:hAnsi="Times New Roman" w:cs="Times New Roman"/>
          <w:b/>
          <w:sz w:val="28"/>
          <w:szCs w:val="28"/>
        </w:rPr>
        <w:t xml:space="preserve">решению </w:t>
      </w:r>
      <w:proofErr w:type="gramStart"/>
      <w:r w:rsidRPr="0001678E">
        <w:rPr>
          <w:rFonts w:ascii="Times New Roman" w:hAnsi="Times New Roman" w:cs="Times New Roman"/>
          <w:b/>
          <w:sz w:val="28"/>
          <w:szCs w:val="28"/>
        </w:rPr>
        <w:t>нестационарных</w:t>
      </w:r>
      <w:proofErr w:type="gramEnd"/>
      <w:r w:rsidRPr="000167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1678E">
        <w:rPr>
          <w:rFonts w:ascii="Times New Roman" w:hAnsi="Times New Roman" w:cs="Times New Roman"/>
          <w:b/>
          <w:spacing w:val="-6"/>
          <w:sz w:val="28"/>
          <w:szCs w:val="28"/>
        </w:rPr>
        <w:t xml:space="preserve">торговых объектов на территории </w:t>
      </w:r>
      <w:bookmarkStart w:id="0" w:name="_GoBack"/>
      <w:bookmarkEnd w:id="0"/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1678E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муниципального образования 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01678E">
        <w:rPr>
          <w:rFonts w:ascii="Times New Roman" w:hAnsi="Times New Roman" w:cs="Times New Roman"/>
          <w:b/>
          <w:spacing w:val="-6"/>
          <w:sz w:val="28"/>
          <w:szCs w:val="28"/>
        </w:rPr>
        <w:t>Щербиновский район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0F13A5" w:rsidRPr="0001678E" w:rsidRDefault="000F13A5" w:rsidP="000F13A5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01678E">
        <w:rPr>
          <w:rFonts w:ascii="Times New Roman" w:hAnsi="Times New Roman" w:cs="Times New Roman"/>
          <w:spacing w:val="-6"/>
          <w:sz w:val="28"/>
          <w:szCs w:val="28"/>
        </w:rPr>
        <w:t xml:space="preserve">Общие требования </w:t>
      </w:r>
    </w:p>
    <w:p w:rsidR="000F13A5" w:rsidRPr="0001678E" w:rsidRDefault="000F13A5" w:rsidP="000F13A5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pacing w:val="-6"/>
          <w:sz w:val="28"/>
          <w:szCs w:val="28"/>
        </w:rPr>
      </w:pP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 xml:space="preserve">1.1 Требования к внешнему виду и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архитектурному решению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нестаци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нарных торговых объектов на территории муниципального образования Ще</w:t>
      </w:r>
      <w:r w:rsidRPr="0001678E">
        <w:rPr>
          <w:rFonts w:ascii="Times New Roman" w:hAnsi="Times New Roman" w:cs="Times New Roman"/>
          <w:sz w:val="28"/>
          <w:szCs w:val="28"/>
        </w:rPr>
        <w:t>р</w:t>
      </w:r>
      <w:r w:rsidRPr="0001678E">
        <w:rPr>
          <w:rFonts w:ascii="Times New Roman" w:hAnsi="Times New Roman" w:cs="Times New Roman"/>
          <w:sz w:val="28"/>
          <w:szCs w:val="28"/>
        </w:rPr>
        <w:t>биновский район (далее - Требования) разработаны в целях установления ед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 xml:space="preserve">ных требований к внешнему виду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архитектурному решению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нестац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>онарных торговых объектов и обеспечения формирования единого облика территории муниципального образования Щербиновский район.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Для целей настоящих Требований используются следующие основные термины и определения: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Сооружение — объемная, плоскостная или линейная наземная, надзе</w:t>
      </w:r>
      <w:r w:rsidRPr="0001678E">
        <w:rPr>
          <w:rFonts w:ascii="Times New Roman" w:hAnsi="Times New Roman" w:cs="Times New Roman"/>
          <w:sz w:val="28"/>
          <w:szCs w:val="28"/>
        </w:rPr>
        <w:t>м</w:t>
      </w:r>
      <w:r w:rsidRPr="0001678E">
        <w:rPr>
          <w:rFonts w:ascii="Times New Roman" w:hAnsi="Times New Roman" w:cs="Times New Roman"/>
          <w:sz w:val="28"/>
          <w:szCs w:val="28"/>
        </w:rPr>
        <w:t>ная или подземная строительная система, состоящая из несущих, а в отдельных случаях и ограждающих конструкций и предназначенная для выполнения пр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изводственных процессов различного вида, хранения материалов, изделий, оборудования, для временного пребывания людей, перемещения людей и гр</w:t>
      </w:r>
      <w:r w:rsidRPr="0001678E">
        <w:rPr>
          <w:rFonts w:ascii="Times New Roman" w:hAnsi="Times New Roman" w:cs="Times New Roman"/>
          <w:sz w:val="28"/>
          <w:szCs w:val="28"/>
        </w:rPr>
        <w:t>у</w:t>
      </w:r>
      <w:r w:rsidRPr="0001678E">
        <w:rPr>
          <w:rFonts w:ascii="Times New Roman" w:hAnsi="Times New Roman" w:cs="Times New Roman"/>
          <w:sz w:val="28"/>
          <w:szCs w:val="28"/>
        </w:rPr>
        <w:t>зов и т.д.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Пешеходная зона тротуара — свободный от преград и препятствий выд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ленный участок улицы, предназначенный для движения пешеходов.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Техническая зона тротуара — участки  тротуара, в пределах которых ра</w:t>
      </w:r>
      <w:r w:rsidRPr="0001678E">
        <w:rPr>
          <w:rFonts w:ascii="Times New Roman" w:hAnsi="Times New Roman" w:cs="Times New Roman"/>
          <w:sz w:val="28"/>
          <w:szCs w:val="28"/>
        </w:rPr>
        <w:t>з</w:t>
      </w:r>
      <w:r w:rsidRPr="0001678E">
        <w:rPr>
          <w:rFonts w:ascii="Times New Roman" w:hAnsi="Times New Roman" w:cs="Times New Roman"/>
          <w:sz w:val="28"/>
          <w:szCs w:val="28"/>
        </w:rPr>
        <w:t>мещаются дорожные знаки, светофорные объекты приборы освещения, мачты связи, кабельные системы и другое инженерное оборудование.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Проезжая часть — элемент дороги, предназначенный для движения бе</w:t>
      </w:r>
      <w:r w:rsidRPr="0001678E">
        <w:rPr>
          <w:rFonts w:ascii="Times New Roman" w:hAnsi="Times New Roman" w:cs="Times New Roman"/>
          <w:sz w:val="28"/>
          <w:szCs w:val="28"/>
        </w:rPr>
        <w:t>з</w:t>
      </w:r>
      <w:r w:rsidRPr="0001678E">
        <w:rPr>
          <w:rFonts w:ascii="Times New Roman" w:hAnsi="Times New Roman" w:cs="Times New Roman"/>
          <w:sz w:val="28"/>
          <w:szCs w:val="28"/>
        </w:rPr>
        <w:t>рельсовых транспортных средств.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Сгруппированные НТО — два и более НТО, расстояние между кот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рыми менее 0,3 м.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Нестационарный торговый объект (НТО) — торговый объект, предста</w:t>
      </w:r>
      <w:r w:rsidRPr="0001678E">
        <w:rPr>
          <w:rFonts w:ascii="Times New Roman" w:hAnsi="Times New Roman" w:cs="Times New Roman"/>
          <w:sz w:val="28"/>
          <w:szCs w:val="28"/>
        </w:rPr>
        <w:t>в</w:t>
      </w:r>
      <w:r w:rsidRPr="0001678E">
        <w:rPr>
          <w:rFonts w:ascii="Times New Roman" w:hAnsi="Times New Roman" w:cs="Times New Roman"/>
          <w:sz w:val="28"/>
          <w:szCs w:val="28"/>
        </w:rPr>
        <w:t>ляющий собой временное сооружение или временную конструкцию, не связа</w:t>
      </w:r>
      <w:r w:rsidRPr="0001678E">
        <w:rPr>
          <w:rFonts w:ascii="Times New Roman" w:hAnsi="Times New Roman" w:cs="Times New Roman"/>
          <w:sz w:val="28"/>
          <w:szCs w:val="28"/>
        </w:rPr>
        <w:t>н</w:t>
      </w:r>
      <w:r w:rsidRPr="0001678E">
        <w:rPr>
          <w:rFonts w:ascii="Times New Roman" w:hAnsi="Times New Roman" w:cs="Times New Roman"/>
          <w:sz w:val="28"/>
          <w:szCs w:val="28"/>
        </w:rPr>
        <w:t xml:space="preserve">ные прочно с земельным участком вне зависимости от  наличия или отсутствия подключения (технологического присоединения) к сетям </w:t>
      </w:r>
      <w:r w:rsidRPr="0001678E">
        <w:rPr>
          <w:rFonts w:ascii="Times New Roman" w:hAnsi="Times New Roman" w:cs="Times New Roman"/>
          <w:sz w:val="28"/>
          <w:szCs w:val="28"/>
        </w:rPr>
        <w:lastRenderedPageBreak/>
        <w:t>инж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нерно-технического обеспечения, в том числе передвижное сооружение.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Торговая галерея — НТО, выполненный в едином архитектурном стиле, состоящий из совокупности, но не более пяти (в одном ряду) специализирова</w:t>
      </w:r>
      <w:r w:rsidRPr="0001678E">
        <w:rPr>
          <w:rFonts w:ascii="Times New Roman" w:hAnsi="Times New Roman" w:cs="Times New Roman"/>
          <w:sz w:val="28"/>
          <w:szCs w:val="28"/>
        </w:rPr>
        <w:t>н</w:t>
      </w:r>
      <w:r w:rsidRPr="0001678E">
        <w:rPr>
          <w:rFonts w:ascii="Times New Roman" w:hAnsi="Times New Roman" w:cs="Times New Roman"/>
          <w:sz w:val="28"/>
          <w:szCs w:val="28"/>
        </w:rPr>
        <w:t>ных павильонов или киосков, симметрично расположенных напротив друг др</w:t>
      </w:r>
      <w:r w:rsidRPr="0001678E">
        <w:rPr>
          <w:rFonts w:ascii="Times New Roman" w:hAnsi="Times New Roman" w:cs="Times New Roman"/>
          <w:sz w:val="28"/>
          <w:szCs w:val="28"/>
        </w:rPr>
        <w:t>у</w:t>
      </w:r>
      <w:r w:rsidRPr="0001678E">
        <w:rPr>
          <w:rFonts w:ascii="Times New Roman" w:hAnsi="Times New Roman" w:cs="Times New Roman"/>
          <w:sz w:val="28"/>
          <w:szCs w:val="28"/>
        </w:rPr>
        <w:t>га, обеспечивающих беспрепятственный проход для покупателей, объедине</w:t>
      </w:r>
      <w:r w:rsidRPr="0001678E">
        <w:rPr>
          <w:rFonts w:ascii="Times New Roman" w:hAnsi="Times New Roman" w:cs="Times New Roman"/>
          <w:sz w:val="28"/>
          <w:szCs w:val="28"/>
        </w:rPr>
        <w:t>н</w:t>
      </w:r>
      <w:r w:rsidRPr="0001678E">
        <w:rPr>
          <w:rFonts w:ascii="Times New Roman" w:hAnsi="Times New Roman" w:cs="Times New Roman"/>
          <w:sz w:val="28"/>
          <w:szCs w:val="28"/>
        </w:rPr>
        <w:t xml:space="preserve">ных под единой  временной </w:t>
      </w:r>
      <w:proofErr w:type="spellStart"/>
      <w:r w:rsidRPr="0001678E">
        <w:rPr>
          <w:rFonts w:ascii="Times New Roman" w:hAnsi="Times New Roman" w:cs="Times New Roman"/>
          <w:sz w:val="28"/>
          <w:szCs w:val="28"/>
        </w:rPr>
        <w:t>светопрозрачной</w:t>
      </w:r>
      <w:proofErr w:type="spellEnd"/>
      <w:r w:rsidRPr="0001678E">
        <w:rPr>
          <w:rFonts w:ascii="Times New Roman" w:hAnsi="Times New Roman" w:cs="Times New Roman"/>
          <w:sz w:val="28"/>
          <w:szCs w:val="28"/>
        </w:rPr>
        <w:t xml:space="preserve"> кровлей, не несущей теплоизол</w:t>
      </w:r>
      <w:r w:rsidRPr="0001678E">
        <w:rPr>
          <w:rFonts w:ascii="Times New Roman" w:hAnsi="Times New Roman" w:cs="Times New Roman"/>
          <w:sz w:val="28"/>
          <w:szCs w:val="28"/>
        </w:rPr>
        <w:t>я</w:t>
      </w:r>
      <w:r w:rsidRPr="0001678E">
        <w:rPr>
          <w:rFonts w:ascii="Times New Roman" w:hAnsi="Times New Roman" w:cs="Times New Roman"/>
          <w:sz w:val="28"/>
          <w:szCs w:val="28"/>
        </w:rPr>
        <w:t>ционную функцию.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 xml:space="preserve">1.2. Требования к внешнему виду и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архитектурному решению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нестаци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нарных торговых объектов не применяется к ранее согласованным объектам до истечения 5 лет.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1.3. Допускается возможность смены (модернизации) внешнего облика НТО не чаще чем один раз в 5 лет без замены конструктивных элементов (тол</w:t>
      </w:r>
      <w:r w:rsidRPr="0001678E">
        <w:rPr>
          <w:rFonts w:ascii="Times New Roman" w:hAnsi="Times New Roman" w:cs="Times New Roman"/>
          <w:sz w:val="28"/>
          <w:szCs w:val="28"/>
        </w:rPr>
        <w:t>ь</w:t>
      </w:r>
      <w:r w:rsidRPr="0001678E">
        <w:rPr>
          <w:rFonts w:ascii="Times New Roman" w:hAnsi="Times New Roman" w:cs="Times New Roman"/>
          <w:sz w:val="28"/>
          <w:szCs w:val="28"/>
        </w:rPr>
        <w:t>ко модернизация внешнего оформления).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1.4. Предлагаемая система модульной объемно-пространственной орган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>зации объектов мелкорозничной торговли не является рабочим проектом ко</w:t>
      </w:r>
      <w:r w:rsidRPr="0001678E">
        <w:rPr>
          <w:rFonts w:ascii="Times New Roman" w:hAnsi="Times New Roman" w:cs="Times New Roman"/>
          <w:sz w:val="28"/>
          <w:szCs w:val="28"/>
        </w:rPr>
        <w:t>н</w:t>
      </w:r>
      <w:r w:rsidRPr="0001678E">
        <w:rPr>
          <w:rFonts w:ascii="Times New Roman" w:hAnsi="Times New Roman" w:cs="Times New Roman"/>
          <w:sz w:val="28"/>
          <w:szCs w:val="28"/>
        </w:rPr>
        <w:t>кретного объекта. Система предлагает основу для дальнейшего, оконч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>тельного проектирования объекта, с учетом конкретной ситуации планиру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мого участка. 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1.5. Проектный модуль павильонов и киосков, включая павильоны и к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>оски, совмещенные с автобусной остановкой, является конструктивным мод</w:t>
      </w:r>
      <w:r w:rsidRPr="0001678E">
        <w:rPr>
          <w:rFonts w:ascii="Times New Roman" w:hAnsi="Times New Roman" w:cs="Times New Roman"/>
          <w:sz w:val="28"/>
          <w:szCs w:val="28"/>
        </w:rPr>
        <w:t>у</w:t>
      </w:r>
      <w:r w:rsidRPr="0001678E">
        <w:rPr>
          <w:rFonts w:ascii="Times New Roman" w:hAnsi="Times New Roman" w:cs="Times New Roman"/>
          <w:sz w:val="28"/>
          <w:szCs w:val="28"/>
        </w:rPr>
        <w:t>лем, позволяющим компоновать различные по площади и конфигурации объе</w:t>
      </w:r>
      <w:r w:rsidRPr="0001678E">
        <w:rPr>
          <w:rFonts w:ascii="Times New Roman" w:hAnsi="Times New Roman" w:cs="Times New Roman"/>
          <w:sz w:val="28"/>
          <w:szCs w:val="28"/>
        </w:rPr>
        <w:t>к</w:t>
      </w:r>
      <w:r w:rsidRPr="0001678E">
        <w:rPr>
          <w:rFonts w:ascii="Times New Roman" w:hAnsi="Times New Roman" w:cs="Times New Roman"/>
          <w:sz w:val="28"/>
          <w:szCs w:val="28"/>
        </w:rPr>
        <w:t>ты.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1.6. Объект должен быть установлен на ровную или специально в</w:t>
      </w:r>
      <w:r w:rsidRPr="0001678E">
        <w:rPr>
          <w:rFonts w:ascii="Times New Roman" w:hAnsi="Times New Roman" w:cs="Times New Roman"/>
          <w:sz w:val="28"/>
          <w:szCs w:val="28"/>
        </w:rPr>
        <w:t>ы</w:t>
      </w:r>
      <w:r w:rsidRPr="0001678E">
        <w:rPr>
          <w:rFonts w:ascii="Times New Roman" w:hAnsi="Times New Roman" w:cs="Times New Roman"/>
          <w:sz w:val="28"/>
          <w:szCs w:val="28"/>
        </w:rPr>
        <w:t xml:space="preserve">ровненную площадку без устройства заглубленных фундаментов. 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1.7. Система предполагает изменение внутренней планировки с добавл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нием или удалением  перегородок, окон, дверей и функционального оборудов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>ния, а также неограниченные возможности внутренней отделки объектов ме</w:t>
      </w:r>
      <w:r w:rsidRPr="0001678E">
        <w:rPr>
          <w:rFonts w:ascii="Times New Roman" w:hAnsi="Times New Roman" w:cs="Times New Roman"/>
          <w:sz w:val="28"/>
          <w:szCs w:val="28"/>
        </w:rPr>
        <w:t>л</w:t>
      </w:r>
      <w:r w:rsidRPr="0001678E">
        <w:rPr>
          <w:rFonts w:ascii="Times New Roman" w:hAnsi="Times New Roman" w:cs="Times New Roman"/>
          <w:sz w:val="28"/>
          <w:szCs w:val="28"/>
        </w:rPr>
        <w:t>корозничной торговли в зависимости от их функционального назначения и м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сторасположения в структуре населенного пункта.</w:t>
      </w:r>
    </w:p>
    <w:p w:rsidR="000F13A5" w:rsidRPr="0001678E" w:rsidRDefault="000F13A5" w:rsidP="000F13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1.8. Архитектурно-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художественное решение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НТО:</w:t>
      </w:r>
    </w:p>
    <w:p w:rsidR="000F13A5" w:rsidRPr="0001678E" w:rsidRDefault="000F13A5" w:rsidP="000F13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За основу архитектурно-художественного решения НТО, расположенного на территории муниципального образования Щербиновский район принимается эскизный проект 2-х основных вариантов НТО (павильоны), наиболее отвеч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 xml:space="preserve">ющий существующей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>, с учетом современных требований к форматам торговли.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1.9. Цветовое оформление НТО необходимо предусматривать по кат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>логу RAL, в соответствии с основным существующим современным вариантам а</w:t>
      </w:r>
      <w:r w:rsidRPr="0001678E">
        <w:rPr>
          <w:rFonts w:ascii="Times New Roman" w:hAnsi="Times New Roman" w:cs="Times New Roman"/>
          <w:sz w:val="28"/>
          <w:szCs w:val="28"/>
        </w:rPr>
        <w:t>р</w:t>
      </w:r>
      <w:r w:rsidRPr="0001678E">
        <w:rPr>
          <w:rFonts w:ascii="Times New Roman" w:hAnsi="Times New Roman" w:cs="Times New Roman"/>
          <w:sz w:val="28"/>
          <w:szCs w:val="28"/>
        </w:rPr>
        <w:t>хитектуры окружающей застройки.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1.10. Благоустройства территории:</w:t>
      </w:r>
    </w:p>
    <w:p w:rsidR="000F13A5" w:rsidRPr="0001678E" w:rsidRDefault="000F13A5" w:rsidP="000F13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- устройство тротуарной плитки;</w:t>
      </w:r>
    </w:p>
    <w:p w:rsidR="000F13A5" w:rsidRPr="0001678E" w:rsidRDefault="000F13A5" w:rsidP="000F13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- установка современных МАФ (мусорных урн, скамеек, вазонов с цветами и др.).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1.11. Мероприятия по обеспечению доступа маломобильных групп нас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ления: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законом от  24 ноября 1995г. № 181-ФЗ статья 15, и Федеральным законом от 1 декабря 2014г.№ 419-ФЗ у торговых объектов предполагается установка пандусов для доступа людей с ограниче</w:t>
      </w:r>
      <w:r w:rsidRPr="0001678E">
        <w:rPr>
          <w:rFonts w:ascii="Times New Roman" w:hAnsi="Times New Roman" w:cs="Times New Roman"/>
          <w:sz w:val="28"/>
          <w:szCs w:val="28"/>
        </w:rPr>
        <w:t>н</w:t>
      </w:r>
      <w:r w:rsidRPr="0001678E">
        <w:rPr>
          <w:rFonts w:ascii="Times New Roman" w:hAnsi="Times New Roman" w:cs="Times New Roman"/>
          <w:sz w:val="28"/>
          <w:szCs w:val="28"/>
        </w:rPr>
        <w:t xml:space="preserve">ными физическими возможностями.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Пандусы и лестницы оборудованы поручнями.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1.12. Противопожарные требования: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По противопожарной классификации проектируемый объект относит</w:t>
      </w:r>
      <w:r w:rsidRPr="0001678E">
        <w:rPr>
          <w:rFonts w:ascii="Times New Roman" w:hAnsi="Times New Roman" w:cs="Times New Roman"/>
          <w:sz w:val="28"/>
          <w:szCs w:val="28"/>
        </w:rPr>
        <w:t>ь</w:t>
      </w:r>
      <w:r w:rsidRPr="0001678E">
        <w:rPr>
          <w:rFonts w:ascii="Times New Roman" w:hAnsi="Times New Roman" w:cs="Times New Roman"/>
          <w:sz w:val="28"/>
          <w:szCs w:val="28"/>
        </w:rPr>
        <w:t>ся к III-й степени огнестойкости. Наружное пожаротушение осуществляется из существующих пожарных гидрантов на водопроводной сети.  К  объекту  должны быть предусмотрены подъезды пожарных автомобилей.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 xml:space="preserve">2. Требования к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архитектурно-дизайнерскому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решению нестационарных торговых объектов</w:t>
      </w:r>
    </w:p>
    <w:p w:rsidR="000F13A5" w:rsidRPr="0001678E" w:rsidRDefault="000F13A5" w:rsidP="000F13A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2.1. Внешний вид объектов должен отвечать современным архитекту</w:t>
      </w:r>
      <w:r w:rsidRPr="0001678E">
        <w:rPr>
          <w:rFonts w:ascii="Times New Roman" w:hAnsi="Times New Roman" w:cs="Times New Roman"/>
          <w:sz w:val="28"/>
          <w:szCs w:val="28"/>
        </w:rPr>
        <w:t>р</w:t>
      </w:r>
      <w:r w:rsidRPr="0001678E">
        <w:rPr>
          <w:rFonts w:ascii="Times New Roman" w:hAnsi="Times New Roman" w:cs="Times New Roman"/>
          <w:sz w:val="28"/>
          <w:szCs w:val="28"/>
        </w:rPr>
        <w:t>но-художественным требованиям, настоящим Требованиям и с учетом долговр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менной эксплуатации, не терять своих качеств.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2.2. Проектная документация для нестационарных торговых объектов должна предусматривать возможность их монтажа только из легких сборных несущих металлических конструкций заводского изготовления. Огражда</w:t>
      </w:r>
      <w:r w:rsidRPr="0001678E">
        <w:rPr>
          <w:rFonts w:ascii="Times New Roman" w:hAnsi="Times New Roman" w:cs="Times New Roman"/>
          <w:sz w:val="28"/>
          <w:szCs w:val="28"/>
        </w:rPr>
        <w:t>ю</w:t>
      </w:r>
      <w:r w:rsidRPr="0001678E">
        <w:rPr>
          <w:rFonts w:ascii="Times New Roman" w:hAnsi="Times New Roman" w:cs="Times New Roman"/>
          <w:sz w:val="28"/>
          <w:szCs w:val="28"/>
        </w:rPr>
        <w:t>щие конструкции предусматривать из металлических конструкций с остекл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нием из витринного стекла (простого или тонированного), включая двери, витражи, </w:t>
      </w:r>
      <w:proofErr w:type="spellStart"/>
      <w:r w:rsidRPr="0001678E">
        <w:rPr>
          <w:rFonts w:ascii="Times New Roman" w:hAnsi="Times New Roman" w:cs="Times New Roman"/>
          <w:sz w:val="28"/>
          <w:szCs w:val="28"/>
        </w:rPr>
        <w:t>фальшвитрины</w:t>
      </w:r>
      <w:proofErr w:type="spellEnd"/>
      <w:r w:rsidRPr="0001678E">
        <w:rPr>
          <w:rFonts w:ascii="Times New Roman" w:hAnsi="Times New Roman" w:cs="Times New Roman"/>
          <w:sz w:val="28"/>
          <w:szCs w:val="28"/>
        </w:rPr>
        <w:t xml:space="preserve"> и облицовку. Допускается применение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сэндвич-панелей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>, комп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зитных панелей с различной текстурной и фактурной повер</w:t>
      </w:r>
      <w:r w:rsidRPr="0001678E">
        <w:rPr>
          <w:rFonts w:ascii="Times New Roman" w:hAnsi="Times New Roman" w:cs="Times New Roman"/>
          <w:sz w:val="28"/>
          <w:szCs w:val="28"/>
        </w:rPr>
        <w:t>х</w:t>
      </w:r>
      <w:r w:rsidRPr="0001678E">
        <w:rPr>
          <w:rFonts w:ascii="Times New Roman" w:hAnsi="Times New Roman" w:cs="Times New Roman"/>
          <w:sz w:val="28"/>
          <w:szCs w:val="28"/>
        </w:rPr>
        <w:t xml:space="preserve">ностью.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2.3. Для изготовления (модернизации) нестационарных торговых объе</w:t>
      </w:r>
      <w:r w:rsidRPr="0001678E">
        <w:rPr>
          <w:rFonts w:ascii="Times New Roman" w:hAnsi="Times New Roman" w:cs="Times New Roman"/>
          <w:sz w:val="28"/>
          <w:szCs w:val="28"/>
        </w:rPr>
        <w:t>к</w:t>
      </w:r>
      <w:r w:rsidRPr="0001678E">
        <w:rPr>
          <w:rFonts w:ascii="Times New Roman" w:hAnsi="Times New Roman" w:cs="Times New Roman"/>
          <w:sz w:val="28"/>
          <w:szCs w:val="28"/>
        </w:rPr>
        <w:t>тов (киосков, павильонов) и их отделки применяются современные сертифиц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>рованные (в т.ч. в части пожарной безопасности) материалы, имеющие кач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ственную и прочную окраску, отделку и не изменяющие своих эстетич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ских и эксплуатационных качеств в течение всего срока эксплуатации. При этом в проектах не допускается применение кирпича, блоков, бетона, </w:t>
      </w:r>
      <w:proofErr w:type="spellStart"/>
      <w:r w:rsidRPr="0001678E">
        <w:rPr>
          <w:rFonts w:ascii="Times New Roman" w:hAnsi="Times New Roman" w:cs="Times New Roman"/>
          <w:sz w:val="28"/>
          <w:szCs w:val="28"/>
        </w:rPr>
        <w:t>сайдинга</w:t>
      </w:r>
      <w:proofErr w:type="spellEnd"/>
      <w:r w:rsidRPr="0001678E">
        <w:rPr>
          <w:rFonts w:ascii="Times New Roman" w:hAnsi="Times New Roman" w:cs="Times New Roman"/>
          <w:sz w:val="28"/>
          <w:szCs w:val="28"/>
        </w:rPr>
        <w:t>, р</w:t>
      </w:r>
      <w:r w:rsidRPr="0001678E">
        <w:rPr>
          <w:rFonts w:ascii="Times New Roman" w:hAnsi="Times New Roman" w:cs="Times New Roman"/>
          <w:sz w:val="28"/>
          <w:szCs w:val="28"/>
        </w:rPr>
        <w:t>у</w:t>
      </w:r>
      <w:r w:rsidRPr="0001678E">
        <w:rPr>
          <w:rFonts w:ascii="Times New Roman" w:hAnsi="Times New Roman" w:cs="Times New Roman"/>
          <w:sz w:val="28"/>
          <w:szCs w:val="28"/>
        </w:rPr>
        <w:t xml:space="preserve">лонной и шиферной кровли, </w:t>
      </w:r>
      <w:proofErr w:type="spellStart"/>
      <w:r w:rsidRPr="0001678E">
        <w:rPr>
          <w:rFonts w:ascii="Times New Roman" w:hAnsi="Times New Roman" w:cs="Times New Roman"/>
          <w:sz w:val="28"/>
          <w:szCs w:val="28"/>
        </w:rPr>
        <w:t>металлочерепицы</w:t>
      </w:r>
      <w:proofErr w:type="spellEnd"/>
      <w:r w:rsidRPr="000167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2.4. Архитектурно-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художественное решение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не должно противоречить существующей стилистике окружающей з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 xml:space="preserve">стройки.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2.5. Архитектурное и конструктивное решение входной группы (групп) объекта, торгового зала, а также основные  пути передвижения по прилег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>ющей территории к входу (входам) объекта должны соответствовать требованиям «СП 59.13330.2016. Свод правил. Доступность зданий и сооружений для мал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мобильных групп населения. Актуализированная редакция СНиП 35-01-2001» (утверждена Приказом Минстроя России от 14 ноября 2016 № 798/пр).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2.6. Киоски, павильоны  должны иметь вывеску, определяющую пр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филь объекта, информационную табличку с указанием зарегистрированного назв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>ния, формы собственности и режима работы  объекта. Дизайнерское решение рекламно-информационного оформления должно соответствовать архитекту</w:t>
      </w:r>
      <w:r w:rsidRPr="0001678E">
        <w:rPr>
          <w:rFonts w:ascii="Times New Roman" w:hAnsi="Times New Roman" w:cs="Times New Roman"/>
          <w:sz w:val="28"/>
          <w:szCs w:val="28"/>
        </w:rPr>
        <w:t>р</w:t>
      </w:r>
      <w:r w:rsidRPr="0001678E">
        <w:rPr>
          <w:rFonts w:ascii="Times New Roman" w:hAnsi="Times New Roman" w:cs="Times New Roman"/>
          <w:sz w:val="28"/>
          <w:szCs w:val="28"/>
        </w:rPr>
        <w:t>но-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дизайнерскому решению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павильона. Не допускается размещ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ние рекламно-информационного оформления (включая самоклеящуюся пленку) на месте остекления.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2.7. В случае объединения объектов в единый модуль различной конф</w:t>
      </w:r>
      <w:r w:rsidRPr="0001678E">
        <w:rPr>
          <w:rFonts w:ascii="Times New Roman" w:hAnsi="Times New Roman" w:cs="Times New Roman"/>
          <w:sz w:val="28"/>
          <w:szCs w:val="28"/>
        </w:rPr>
        <w:t>и</w:t>
      </w:r>
      <w:r w:rsidRPr="0001678E">
        <w:rPr>
          <w:rFonts w:ascii="Times New Roman" w:hAnsi="Times New Roman" w:cs="Times New Roman"/>
          <w:sz w:val="28"/>
          <w:szCs w:val="28"/>
        </w:rPr>
        <w:t>гурации, а также для объектов,  находящихся в одной торговой зоне, мат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>риалы внешней облицовки (панели из композитных материалов), общий к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зырек, рама остекления, дверные блоки и другие видимые элементы должны быть изгото</w:t>
      </w:r>
      <w:r w:rsidRPr="0001678E">
        <w:rPr>
          <w:rFonts w:ascii="Times New Roman" w:hAnsi="Times New Roman" w:cs="Times New Roman"/>
          <w:sz w:val="28"/>
          <w:szCs w:val="28"/>
        </w:rPr>
        <w:t>в</w:t>
      </w:r>
      <w:r w:rsidRPr="0001678E">
        <w:rPr>
          <w:rFonts w:ascii="Times New Roman" w:hAnsi="Times New Roman" w:cs="Times New Roman"/>
          <w:sz w:val="28"/>
          <w:szCs w:val="28"/>
        </w:rPr>
        <w:t>лены из идентичных конструктивных материалов. Цветовая гамма материалов внешнего покрытия всех объектов торговой зоны и сбл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кированных модулей должна точно соответствовать установленной для типа объектов, определенн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 xml:space="preserve">го для торговой площадки.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2.8. При определении соответствия  или несоответствия установленн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 xml:space="preserve">го в торговой зоне объекта типовому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архитектурному решению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применяются сл</w:t>
      </w:r>
      <w:r w:rsidRPr="0001678E">
        <w:rPr>
          <w:rFonts w:ascii="Times New Roman" w:hAnsi="Times New Roman" w:cs="Times New Roman"/>
          <w:sz w:val="28"/>
          <w:szCs w:val="28"/>
        </w:rPr>
        <w:t>е</w:t>
      </w:r>
      <w:r w:rsidRPr="0001678E">
        <w:rPr>
          <w:rFonts w:ascii="Times New Roman" w:hAnsi="Times New Roman" w:cs="Times New Roman"/>
          <w:sz w:val="28"/>
          <w:szCs w:val="28"/>
        </w:rPr>
        <w:t xml:space="preserve">дующие типовые решения: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78E">
        <w:rPr>
          <w:rFonts w:ascii="Times New Roman" w:hAnsi="Times New Roman" w:cs="Times New Roman"/>
          <w:sz w:val="28"/>
          <w:szCs w:val="28"/>
        </w:rPr>
        <w:t>соответствие габаритных размеров объектов (модулей), установленным в «Схеме размещения нестационарного объекта»;</w:t>
      </w:r>
      <w:proofErr w:type="gramEnd"/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 xml:space="preserve">соответствие материалов внешней отделки и их цветовой гаммы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рек</w:t>
      </w:r>
      <w:r w:rsidRPr="0001678E">
        <w:rPr>
          <w:rFonts w:ascii="Times New Roman" w:hAnsi="Times New Roman" w:cs="Times New Roman"/>
          <w:sz w:val="28"/>
          <w:szCs w:val="28"/>
        </w:rPr>
        <w:t>о</w:t>
      </w:r>
      <w:r w:rsidRPr="0001678E">
        <w:rPr>
          <w:rFonts w:ascii="Times New Roman" w:hAnsi="Times New Roman" w:cs="Times New Roman"/>
          <w:sz w:val="28"/>
          <w:szCs w:val="28"/>
        </w:rPr>
        <w:t>мендованным</w:t>
      </w:r>
      <w:proofErr w:type="gramEnd"/>
      <w:r w:rsidRPr="0001678E">
        <w:rPr>
          <w:rFonts w:ascii="Times New Roman" w:hAnsi="Times New Roman" w:cs="Times New Roman"/>
          <w:sz w:val="28"/>
          <w:szCs w:val="28"/>
        </w:rPr>
        <w:t xml:space="preserve"> настоящими Требованиями; </w:t>
      </w:r>
    </w:p>
    <w:p w:rsidR="000F13A5" w:rsidRPr="0001678E" w:rsidRDefault="000F13A5" w:rsidP="000F13A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идентичность материалов внешней отделки, размеров соединительных декоративных элементов и общих конструкций (верхнего фриза и козырька) для объектов одной торговой зоны или сблокированных в единый модуль, д</w:t>
      </w:r>
      <w:r w:rsidRPr="0001678E">
        <w:rPr>
          <w:rFonts w:ascii="Times New Roman" w:hAnsi="Times New Roman" w:cs="Times New Roman"/>
          <w:sz w:val="28"/>
          <w:szCs w:val="28"/>
        </w:rPr>
        <w:t>а</w:t>
      </w:r>
      <w:r w:rsidRPr="0001678E">
        <w:rPr>
          <w:rFonts w:ascii="Times New Roman" w:hAnsi="Times New Roman" w:cs="Times New Roman"/>
          <w:sz w:val="28"/>
          <w:szCs w:val="28"/>
        </w:rPr>
        <w:t xml:space="preserve">лее (торговая галерея). </w:t>
      </w:r>
    </w:p>
    <w:p w:rsidR="000F13A5" w:rsidRPr="0001678E" w:rsidRDefault="000F13A5" w:rsidP="000F13A5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0F13A5" w:rsidRPr="0001678E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3A5" w:rsidRPr="0001678E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3A5" w:rsidRPr="0001678E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0F13A5" w:rsidRPr="0001678E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1678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F13A5" w:rsidRPr="00881CFE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78E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01678E">
        <w:rPr>
          <w:rFonts w:ascii="Times New Roman" w:hAnsi="Times New Roman" w:cs="Times New Roman"/>
          <w:sz w:val="28"/>
          <w:szCs w:val="28"/>
        </w:rPr>
        <w:tab/>
      </w:r>
      <w:r w:rsidRPr="0001678E">
        <w:rPr>
          <w:rFonts w:ascii="Times New Roman" w:hAnsi="Times New Roman" w:cs="Times New Roman"/>
          <w:sz w:val="28"/>
          <w:szCs w:val="28"/>
        </w:rPr>
        <w:tab/>
      </w:r>
      <w:r w:rsidRPr="0001678E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1678E">
        <w:rPr>
          <w:rFonts w:ascii="Times New Roman" w:hAnsi="Times New Roman" w:cs="Times New Roman"/>
          <w:sz w:val="28"/>
          <w:szCs w:val="28"/>
        </w:rPr>
        <w:t>С.Н. Чернякова</w:t>
      </w:r>
    </w:p>
    <w:p w:rsidR="000F13A5" w:rsidRPr="00CD5E21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3A5" w:rsidRPr="00CD5E21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3A5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3A5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3A5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3A5" w:rsidRDefault="000F13A5" w:rsidP="000F13A5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D6F" w:rsidRPr="000F13A5" w:rsidRDefault="00C20D6F">
      <w:pPr>
        <w:rPr>
          <w:rFonts w:ascii="Times New Roman" w:hAnsi="Times New Roman" w:cs="Times New Roman"/>
          <w:sz w:val="24"/>
          <w:szCs w:val="24"/>
        </w:rPr>
      </w:pPr>
    </w:p>
    <w:sectPr w:rsidR="00C20D6F" w:rsidRPr="000F13A5" w:rsidSect="008E2ED4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ED4" w:rsidRDefault="008E2ED4" w:rsidP="000F13A5">
      <w:pPr>
        <w:spacing w:after="0" w:line="240" w:lineRule="auto"/>
      </w:pPr>
      <w:r>
        <w:separator/>
      </w:r>
    </w:p>
  </w:endnote>
  <w:endnote w:type="continuationSeparator" w:id="0">
    <w:p w:rsidR="008E2ED4" w:rsidRDefault="008E2ED4" w:rsidP="000F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ED4" w:rsidRDefault="008E2ED4" w:rsidP="000F13A5">
      <w:pPr>
        <w:spacing w:after="0" w:line="240" w:lineRule="auto"/>
      </w:pPr>
      <w:r>
        <w:separator/>
      </w:r>
    </w:p>
  </w:footnote>
  <w:footnote w:type="continuationSeparator" w:id="0">
    <w:p w:rsidR="008E2ED4" w:rsidRDefault="008E2ED4" w:rsidP="000F1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340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E2ED4" w:rsidRPr="00593510" w:rsidRDefault="008E2ED4">
        <w:pPr>
          <w:pStyle w:val="a5"/>
          <w:jc w:val="center"/>
          <w:rPr>
            <w:rFonts w:ascii="Times New Roman" w:hAnsi="Times New Roman" w:cs="Times New Roman"/>
          </w:rPr>
        </w:pPr>
        <w:r w:rsidRPr="00593510">
          <w:rPr>
            <w:rFonts w:ascii="Times New Roman" w:hAnsi="Times New Roman" w:cs="Times New Roman"/>
          </w:rPr>
          <w:fldChar w:fldCharType="begin"/>
        </w:r>
        <w:r w:rsidRPr="00593510">
          <w:rPr>
            <w:rFonts w:ascii="Times New Roman" w:hAnsi="Times New Roman" w:cs="Times New Roman"/>
          </w:rPr>
          <w:instrText>PAGE   \* MERGEFORMAT</w:instrText>
        </w:r>
        <w:r w:rsidRPr="00593510">
          <w:rPr>
            <w:rFonts w:ascii="Times New Roman" w:hAnsi="Times New Roman" w:cs="Times New Roman"/>
          </w:rPr>
          <w:fldChar w:fldCharType="separate"/>
        </w:r>
        <w:r w:rsidR="00593510">
          <w:rPr>
            <w:rFonts w:ascii="Times New Roman" w:hAnsi="Times New Roman" w:cs="Times New Roman"/>
            <w:noProof/>
          </w:rPr>
          <w:t>1</w:t>
        </w:r>
        <w:r w:rsidRPr="00593510">
          <w:rPr>
            <w:rFonts w:ascii="Times New Roman" w:hAnsi="Times New Roman" w:cs="Times New Roman"/>
          </w:rPr>
          <w:fldChar w:fldCharType="end"/>
        </w:r>
      </w:p>
    </w:sdtContent>
  </w:sdt>
  <w:p w:rsidR="008E2ED4" w:rsidRDefault="008E2E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90CD7"/>
    <w:multiLevelType w:val="hybridMultilevel"/>
    <w:tmpl w:val="3E7E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A5"/>
    <w:rsid w:val="000F13A5"/>
    <w:rsid w:val="003F2C38"/>
    <w:rsid w:val="00593510"/>
    <w:rsid w:val="008E2ED4"/>
    <w:rsid w:val="00BE5B43"/>
    <w:rsid w:val="00C20D6F"/>
    <w:rsid w:val="00F1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A5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0F13A5"/>
  </w:style>
  <w:style w:type="paragraph" w:styleId="a5">
    <w:name w:val="header"/>
    <w:basedOn w:val="a"/>
    <w:link w:val="a6"/>
    <w:uiPriority w:val="99"/>
    <w:unhideWhenUsed/>
    <w:rsid w:val="000F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13A5"/>
  </w:style>
  <w:style w:type="paragraph" w:styleId="a7">
    <w:name w:val="footer"/>
    <w:basedOn w:val="a"/>
    <w:link w:val="a8"/>
    <w:uiPriority w:val="99"/>
    <w:unhideWhenUsed/>
    <w:rsid w:val="000F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1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A5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0F13A5"/>
  </w:style>
  <w:style w:type="paragraph" w:styleId="a5">
    <w:name w:val="header"/>
    <w:basedOn w:val="a"/>
    <w:link w:val="a6"/>
    <w:uiPriority w:val="99"/>
    <w:unhideWhenUsed/>
    <w:rsid w:val="000F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13A5"/>
  </w:style>
  <w:style w:type="paragraph" w:styleId="a7">
    <w:name w:val="footer"/>
    <w:basedOn w:val="a"/>
    <w:link w:val="a8"/>
    <w:uiPriority w:val="99"/>
    <w:unhideWhenUsed/>
    <w:rsid w:val="000F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C54A-68C7-49B4-ABB6-903FC8D7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3</cp:revision>
  <cp:lastPrinted>2024-05-21T06:37:00Z</cp:lastPrinted>
  <dcterms:created xsi:type="dcterms:W3CDTF">2024-05-20T13:59:00Z</dcterms:created>
  <dcterms:modified xsi:type="dcterms:W3CDTF">2024-05-21T06:37:00Z</dcterms:modified>
</cp:coreProperties>
</file>